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2" w:type="pct"/>
        <w:jc w:val="center"/>
        <w:tblLook w:val="04A0" w:firstRow="1" w:lastRow="0" w:firstColumn="1" w:lastColumn="0" w:noHBand="0" w:noVBand="1"/>
      </w:tblPr>
      <w:tblGrid>
        <w:gridCol w:w="1138"/>
        <w:gridCol w:w="1092"/>
        <w:gridCol w:w="1227"/>
        <w:gridCol w:w="1027"/>
        <w:gridCol w:w="1511"/>
        <w:gridCol w:w="680"/>
        <w:gridCol w:w="654"/>
        <w:gridCol w:w="2436"/>
        <w:gridCol w:w="4579"/>
      </w:tblGrid>
      <w:tr w:rsidR="00B10186" w:rsidTr="00E12DE8">
        <w:trPr>
          <w:trHeight w:val="610"/>
          <w:jc w:val="center"/>
        </w:trPr>
        <w:tc>
          <w:tcPr>
            <w:tcW w:w="5000" w:type="pct"/>
            <w:gridSpan w:val="9"/>
            <w:tcBorders>
              <w:top w:val="nil"/>
              <w:left w:val="nil"/>
              <w:bottom w:val="nil"/>
              <w:right w:val="nil"/>
            </w:tcBorders>
            <w:shd w:val="clear" w:color="auto" w:fill="auto"/>
            <w:noWrap/>
            <w:vAlign w:val="bottom"/>
          </w:tcPr>
          <w:p w:rsidR="00B10186" w:rsidRPr="00D37CAD" w:rsidRDefault="00B10186" w:rsidP="00D37CAD">
            <w:pPr>
              <w:widowControl/>
              <w:spacing w:line="360" w:lineRule="auto"/>
              <w:jc w:val="center"/>
              <w:textAlignment w:val="bottom"/>
              <w:rPr>
                <w:rFonts w:ascii="华文中宋" w:eastAsia="华文中宋" w:hAnsi="华文中宋" w:cs="方正小标宋简体"/>
                <w:color w:val="000000"/>
                <w:sz w:val="44"/>
                <w:szCs w:val="44"/>
              </w:rPr>
            </w:pPr>
            <w:r w:rsidRPr="00D37CAD">
              <w:rPr>
                <w:rFonts w:asciiTheme="minorEastAsia" w:eastAsiaTheme="minorEastAsia" w:hAnsiTheme="minorEastAsia" w:cs="方正小标宋简体" w:hint="eastAsia"/>
                <w:b/>
                <w:color w:val="000000"/>
                <w:kern w:val="0"/>
                <w:sz w:val="44"/>
                <w:szCs w:val="44"/>
                <w:lang w:bidi="ar"/>
              </w:rPr>
              <w:t>2022</w:t>
            </w:r>
            <w:r w:rsidRPr="00D37CAD">
              <w:rPr>
                <w:rFonts w:ascii="华文中宋" w:eastAsia="华文中宋" w:hAnsi="华文中宋" w:cs="方正小标宋简体" w:hint="eastAsia"/>
                <w:color w:val="000000"/>
                <w:kern w:val="0"/>
                <w:sz w:val="44"/>
                <w:szCs w:val="44"/>
                <w:lang w:bidi="ar"/>
              </w:rPr>
              <w:t>年部门整体绩效评价指标体系评分表</w:t>
            </w:r>
          </w:p>
        </w:tc>
      </w:tr>
      <w:tr w:rsidR="00B10186" w:rsidTr="00E12DE8">
        <w:trPr>
          <w:trHeight w:val="48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一、</w:t>
            </w:r>
            <w:r>
              <w:rPr>
                <w:rStyle w:val="font21"/>
                <w:rFonts w:hint="default"/>
                <w:lang w:bidi="ar"/>
              </w:rPr>
              <w:t>当年预算执行情况（20分）</w:t>
            </w:r>
          </w:p>
        </w:tc>
      </w:tr>
      <w:tr w:rsidR="00B10186" w:rsidTr="00E12DE8">
        <w:trPr>
          <w:trHeight w:val="480"/>
          <w:jc w:val="center"/>
        </w:trPr>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一级指标　</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二级指标　</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预算数（万元）</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执行数（万元）</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预算执行率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分值</w:t>
            </w:r>
            <w:bookmarkStart w:id="0" w:name="_GoBack"/>
            <w:bookmarkEnd w:id="0"/>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得分</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指标解释</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评分标准</w:t>
            </w:r>
          </w:p>
        </w:tc>
      </w:tr>
      <w:tr w:rsidR="00B10186" w:rsidTr="00E12DE8">
        <w:trPr>
          <w:trHeight w:val="794"/>
          <w:jc w:val="center"/>
        </w:trPr>
        <w:tc>
          <w:tcPr>
            <w:tcW w:w="39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当年预算执行情况（20分）</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资金总体</w:t>
            </w:r>
          </w:p>
        </w:tc>
        <w:tc>
          <w:tcPr>
            <w:tcW w:w="428"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19,572.95</w:t>
            </w:r>
          </w:p>
        </w:tc>
        <w:tc>
          <w:tcPr>
            <w:tcW w:w="357"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18,853.42</w:t>
            </w:r>
          </w:p>
        </w:tc>
        <w:tc>
          <w:tcPr>
            <w:tcW w:w="526"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96.32%</w:t>
            </w:r>
          </w:p>
        </w:tc>
        <w:tc>
          <w:tcPr>
            <w:tcW w:w="23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22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19.3 </w:t>
            </w:r>
          </w:p>
        </w:tc>
        <w:tc>
          <w:tcPr>
            <w:tcW w:w="8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部门全年执行数与全年预算数的比率。资金总体=基本支出+项目支出+其他</w:t>
            </w:r>
          </w:p>
        </w:tc>
        <w:tc>
          <w:tcPr>
            <w:tcW w:w="15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①得分一档最高不能超过该指标分值上限（20分）。</w:t>
            </w:r>
            <w:r>
              <w:rPr>
                <w:rFonts w:ascii="宋体" w:hAnsi="宋体" w:cs="宋体" w:hint="eastAsia"/>
                <w:color w:val="000000"/>
                <w:kern w:val="0"/>
                <w:sz w:val="18"/>
                <w:szCs w:val="18"/>
                <w:lang w:bidi="ar"/>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B10186" w:rsidTr="00E12DE8">
        <w:trPr>
          <w:trHeight w:val="794"/>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基本支出</w:t>
            </w:r>
          </w:p>
        </w:tc>
        <w:tc>
          <w:tcPr>
            <w:tcW w:w="428"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2,258.18</w:t>
            </w:r>
          </w:p>
        </w:tc>
        <w:tc>
          <w:tcPr>
            <w:tcW w:w="357"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2,096.92</w:t>
            </w:r>
          </w:p>
        </w:tc>
        <w:tc>
          <w:tcPr>
            <w:tcW w:w="52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jc w:val="center"/>
              <w:rPr>
                <w:rFonts w:ascii="宋体" w:hAnsi="宋体" w:cs="宋体"/>
                <w:color w:val="000000"/>
                <w:sz w:val="20"/>
                <w:szCs w:val="20"/>
              </w:rPr>
            </w:pPr>
          </w:p>
        </w:tc>
        <w:tc>
          <w:tcPr>
            <w:tcW w:w="2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jc w:val="center"/>
              <w:rPr>
                <w:rFonts w:ascii="宋体" w:hAnsi="宋体" w:cs="宋体"/>
                <w:color w:val="000000"/>
                <w:sz w:val="20"/>
                <w:szCs w:val="20"/>
              </w:rPr>
            </w:pP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794"/>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项目支出</w:t>
            </w:r>
          </w:p>
        </w:tc>
        <w:tc>
          <w:tcPr>
            <w:tcW w:w="428"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16,714.77</w:t>
            </w:r>
          </w:p>
        </w:tc>
        <w:tc>
          <w:tcPr>
            <w:tcW w:w="357"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16,156.50</w:t>
            </w:r>
          </w:p>
        </w:tc>
        <w:tc>
          <w:tcPr>
            <w:tcW w:w="52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jc w:val="center"/>
              <w:rPr>
                <w:rFonts w:ascii="宋体" w:hAnsi="宋体" w:cs="宋体"/>
                <w:color w:val="000000"/>
                <w:sz w:val="20"/>
                <w:szCs w:val="20"/>
              </w:rPr>
            </w:pPr>
          </w:p>
        </w:tc>
        <w:tc>
          <w:tcPr>
            <w:tcW w:w="2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jc w:val="center"/>
              <w:rPr>
                <w:rFonts w:ascii="宋体" w:hAnsi="宋体" w:cs="宋体"/>
                <w:color w:val="000000"/>
                <w:sz w:val="20"/>
                <w:szCs w:val="20"/>
              </w:rPr>
            </w:pP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794"/>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w:t>
            </w:r>
          </w:p>
        </w:tc>
        <w:tc>
          <w:tcPr>
            <w:tcW w:w="428"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600.00</w:t>
            </w:r>
          </w:p>
        </w:tc>
        <w:tc>
          <w:tcPr>
            <w:tcW w:w="357" w:type="pct"/>
            <w:tcBorders>
              <w:top w:val="single" w:sz="4" w:space="0" w:color="000000"/>
              <w:left w:val="single" w:sz="4" w:space="0" w:color="000000"/>
              <w:bottom w:val="single" w:sz="4" w:space="0" w:color="000000"/>
              <w:right w:val="single" w:sz="4" w:space="0" w:color="000000"/>
            </w:tcBorders>
            <w:shd w:val="clear" w:color="FFFFFF" w:fill="FFFFFF"/>
            <w:noWrap/>
            <w:vAlign w:val="center"/>
          </w:tcPr>
          <w:p w:rsidR="00B10186" w:rsidRDefault="00B10186" w:rsidP="00E12DE8">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600.00</w:t>
            </w:r>
          </w:p>
        </w:tc>
        <w:tc>
          <w:tcPr>
            <w:tcW w:w="52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jc w:val="center"/>
              <w:rPr>
                <w:rFonts w:ascii="宋体" w:hAnsi="宋体" w:cs="宋体"/>
                <w:color w:val="000000"/>
                <w:sz w:val="20"/>
                <w:szCs w:val="20"/>
              </w:rPr>
            </w:pPr>
          </w:p>
        </w:tc>
        <w:tc>
          <w:tcPr>
            <w:tcW w:w="22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jc w:val="center"/>
              <w:rPr>
                <w:rFonts w:ascii="宋体" w:hAnsi="宋体" w:cs="宋体"/>
                <w:color w:val="000000"/>
                <w:sz w:val="20"/>
                <w:szCs w:val="20"/>
              </w:rPr>
            </w:pP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42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二、整体绩效目标实现情况（60分）</w:t>
            </w:r>
          </w:p>
        </w:tc>
      </w:tr>
      <w:tr w:rsidR="00B10186" w:rsidTr="00E12DE8">
        <w:trPr>
          <w:trHeight w:val="420"/>
          <w:jc w:val="center"/>
        </w:trPr>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一级指标</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二级指标　</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三级指标　</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指标值</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完成值</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分值</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得分</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指标解释</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评分标准</w:t>
            </w:r>
          </w:p>
        </w:tc>
      </w:tr>
      <w:tr w:rsidR="00B10186" w:rsidTr="00E12DE8">
        <w:trPr>
          <w:trHeight w:val="560"/>
          <w:jc w:val="center"/>
        </w:trPr>
        <w:tc>
          <w:tcPr>
            <w:tcW w:w="39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整体绩效目标实现情况（60分）</w:t>
            </w:r>
          </w:p>
        </w:tc>
        <w:tc>
          <w:tcPr>
            <w:tcW w:w="3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产出（30分）</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市场营销活动次数</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≥6次</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8次</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产出数量</w:t>
            </w:r>
            <w:r>
              <w:rPr>
                <w:rStyle w:val="font71"/>
                <w:rFonts w:hint="default"/>
                <w:lang w:bidi="ar"/>
              </w:rPr>
              <w:t>：计划完成率=（实际完成工作数/计划工作数）×100%。实际完成工作数：一定时期（年度或规划期）内部门（单位）实际完成工作任务的数量。计划</w:t>
            </w:r>
            <w:r>
              <w:rPr>
                <w:rStyle w:val="font71"/>
                <w:rFonts w:hint="default"/>
                <w:lang w:bidi="ar"/>
              </w:rPr>
              <w:lastRenderedPageBreak/>
              <w:t>工作数：部门（单位）整体绩效目标确定的一定时期（年度或规划期）内预计完成工作任务的数量。</w:t>
            </w:r>
            <w:r>
              <w:rPr>
                <w:rStyle w:val="font51"/>
                <w:rFonts w:hint="default"/>
                <w:lang w:bidi="ar"/>
              </w:rPr>
              <w:t>产出质量</w:t>
            </w:r>
            <w:r>
              <w:rPr>
                <w:rStyle w:val="font71"/>
                <w:rFonts w:hint="default"/>
                <w:lang w:bidi="ar"/>
              </w:rPr>
              <w:t>：质量达标率=质量达标工作数/实际完成工作数×100%。质量达标工作数：一定时期（年度或规划期）内部门（单位）实际完成工作数中达到部门绩效目标要求（绩效标准值）的工作任务数量。</w:t>
            </w:r>
            <w:r>
              <w:rPr>
                <w:rStyle w:val="font51"/>
                <w:rFonts w:hint="default"/>
                <w:lang w:bidi="ar"/>
              </w:rPr>
              <w:t>产出进度：</w:t>
            </w:r>
            <w:r>
              <w:rPr>
                <w:rStyle w:val="font71"/>
                <w:rFonts w:hint="default"/>
                <w:lang w:bidi="ar"/>
              </w:rPr>
              <w:t>按时完成率=（按时完成工作数/实际完成工作数）×100%。按时完成工作数：部门（单位）按照整体绩效目标确定的时限实际完成的工作任务数量。</w:t>
            </w:r>
            <w:r>
              <w:rPr>
                <w:rStyle w:val="font51"/>
                <w:rFonts w:hint="default"/>
                <w:lang w:bidi="ar"/>
              </w:rPr>
              <w:t>产出成本</w:t>
            </w:r>
            <w:r>
              <w:rPr>
                <w:rStyle w:val="font71"/>
                <w:rFonts w:hint="default"/>
                <w:lang w:bidi="ar"/>
              </w:rPr>
              <w:t>：单位产出相对于上一年度的节约额；②单位产出相对于市场同类产出的节约额；③部门公用经费的控制情况。</w:t>
            </w:r>
          </w:p>
        </w:tc>
        <w:tc>
          <w:tcPr>
            <w:tcW w:w="15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部门根据本单位情况自行确定并选择产出指标，合理确定各项指标权重。可量化的指标按照比率*单项指标分值即为该指标得分。如果不能定量评价，则以定性的方式进行自评。</w:t>
            </w: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体彩公益活动次数</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≥10次</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10次</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实体店日常维护及管理</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≥2700家</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3080家</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网点设备更新提升数量</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≥1400台</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1400台</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体彩从业者培训次数</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≥300次</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25场（34课时）</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设备购置台套数</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≥1898台套</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1650台套</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2.6</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全年组织爱党爱国活动</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≥12次</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12次</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宣传活动参与人次数</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≥2万人次</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≥2万人次</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业务培训合格率</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系统运维合格率</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设备验收合格率</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活动举办及时率</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及时</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及时</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56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系统故障响应及时</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及时</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及时</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42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spacing w:val="-11"/>
                <w:kern w:val="0"/>
                <w:sz w:val="18"/>
                <w:szCs w:val="18"/>
                <w:lang w:bidi="ar"/>
              </w:rPr>
              <w:t>按照预算将各项支出严格控制在预算规定范围之内</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控制在预算范围内</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控制在预算范围内</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7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效果（30）</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筹集地方公益金</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Style w:val="font91"/>
                <w:rFonts w:hint="default"/>
                <w:sz w:val="18"/>
                <w:szCs w:val="18"/>
                <w:lang w:bidi="ar"/>
              </w:rPr>
              <w:t>≥7.40亿元</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8.47</w:t>
            </w:r>
            <w:r>
              <w:rPr>
                <w:rFonts w:ascii="宋体" w:hAnsi="宋体" w:cs="宋体" w:hint="eastAsia"/>
                <w:color w:val="000000"/>
                <w:kern w:val="0"/>
                <w:sz w:val="18"/>
                <w:szCs w:val="18"/>
                <w:lang w:bidi="ar"/>
              </w:rPr>
              <w:t>亿元</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8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经济效益</w:t>
            </w:r>
            <w:r>
              <w:rPr>
                <w:rStyle w:val="font71"/>
                <w:rFonts w:hint="default"/>
                <w:lang w:bidi="ar"/>
              </w:rPr>
              <w:t>：部门（单位）履行职责对经济发展所带来的直接或间接影响。</w:t>
            </w:r>
            <w:r>
              <w:rPr>
                <w:rStyle w:val="font51"/>
                <w:rFonts w:hint="default"/>
                <w:lang w:bidi="ar"/>
              </w:rPr>
              <w:t>社会效益</w:t>
            </w:r>
            <w:r>
              <w:rPr>
                <w:rStyle w:val="font71"/>
                <w:rFonts w:hint="default"/>
                <w:lang w:bidi="ar"/>
              </w:rPr>
              <w:t>：部门（单位）履行职责对社会发展所带来的直接或间接影响。</w:t>
            </w:r>
            <w:r>
              <w:rPr>
                <w:rStyle w:val="font51"/>
                <w:rFonts w:hint="default"/>
                <w:lang w:bidi="ar"/>
              </w:rPr>
              <w:t>环境效益</w:t>
            </w:r>
            <w:r>
              <w:rPr>
                <w:rStyle w:val="font71"/>
                <w:rFonts w:hint="default"/>
                <w:lang w:bidi="ar"/>
              </w:rPr>
              <w:t>：部门（单位）履行职责对环境所带来的直接或间接影响。</w:t>
            </w:r>
            <w:r>
              <w:rPr>
                <w:rStyle w:val="font51"/>
                <w:rFonts w:hint="default"/>
                <w:lang w:bidi="ar"/>
              </w:rPr>
              <w:t>可持续性影响：</w:t>
            </w:r>
            <w:r>
              <w:rPr>
                <w:rStyle w:val="font71"/>
                <w:rFonts w:hint="default"/>
                <w:lang w:bidi="ar"/>
              </w:rPr>
              <w:t>部门绩效目标实现的长效机制建设情况，部门工作效率提升措施的创新。</w:t>
            </w:r>
            <w:r>
              <w:rPr>
                <w:rStyle w:val="font51"/>
                <w:rFonts w:hint="default"/>
                <w:lang w:bidi="ar"/>
              </w:rPr>
              <w:t>服务对象满意度</w:t>
            </w:r>
            <w:r>
              <w:rPr>
                <w:rStyle w:val="font71"/>
                <w:rFonts w:hint="default"/>
                <w:lang w:bidi="ar"/>
              </w:rPr>
              <w:t>：部门（单位）的服务对象对部门履职效果的满意程度。</w:t>
            </w:r>
          </w:p>
        </w:tc>
        <w:tc>
          <w:tcPr>
            <w:tcW w:w="15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部门根据实际情况选择指标进行填写，并将其细化为相应的个性化指标。对于效益类指标可从受益对象瞄准度、受益广度和受益深度上进行设计分析。</w:t>
            </w:r>
          </w:p>
        </w:tc>
      </w:tr>
      <w:tr w:rsidR="00B10186" w:rsidTr="00E12DE8">
        <w:trPr>
          <w:trHeight w:val="7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101"/>
                <w:rFonts w:hint="default"/>
                <w:sz w:val="18"/>
                <w:szCs w:val="18"/>
                <w:lang w:bidi="ar"/>
              </w:rPr>
              <w:t>销售体育彩票金额</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textAlignment w:val="center"/>
              <w:rPr>
                <w:rFonts w:ascii="宋体" w:hAnsi="宋体" w:cs="宋体"/>
                <w:color w:val="000000"/>
                <w:sz w:val="18"/>
                <w:szCs w:val="18"/>
              </w:rPr>
            </w:pPr>
            <w:r>
              <w:rPr>
                <w:rStyle w:val="font101"/>
                <w:rFonts w:hint="default"/>
                <w:sz w:val="18"/>
                <w:szCs w:val="18"/>
                <w:lang w:bidi="ar"/>
              </w:rPr>
              <w:t>≥58亿元</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72.88亿</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11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促进体育彩票销售</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Style w:val="font91"/>
                <w:rFonts w:hint="default"/>
                <w:sz w:val="18"/>
                <w:szCs w:val="18"/>
                <w:lang w:bidi="ar"/>
              </w:rPr>
              <w:t>提高体育彩票销售额</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2022年销售额较2021年66.07亿元增长至72.88亿元</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22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提升体育彩票影响力，扩大彩民群体</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Style w:val="font91"/>
                <w:rFonts w:hint="default"/>
                <w:sz w:val="18"/>
                <w:szCs w:val="18"/>
                <w:lang w:bidi="ar"/>
              </w:rPr>
              <w:t>影响力提升，彩民群体扩大</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2022年通过各类体彩品牌宣传活动和宣传，提高了体彩品牌的认知度，每次活动拉新人数达到预期目标，扩大了彩民群体。</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120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系统稳定运行保持业务健康发展</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保持彩票业务稳定发展</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2022年体彩系统运行稳定，为彩票业务提供了基础保障</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124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保证系统设备稳定运行，不出现重大安全事故</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Style w:val="font91"/>
                <w:rFonts w:hint="default"/>
                <w:sz w:val="18"/>
                <w:szCs w:val="18"/>
                <w:lang w:bidi="ar"/>
              </w:rPr>
              <w:t>全年不出现重大安全事故</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全年未出现重大事故</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7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购彩者满意度</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Style w:val="font91"/>
                <w:rFonts w:hint="default"/>
                <w:sz w:val="18"/>
                <w:szCs w:val="18"/>
                <w:lang w:bidi="ar"/>
              </w:rPr>
              <w:t>≥80%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购彩者较为满意，但满意度调查较为简单</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7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18"/>
                <w:szCs w:val="18"/>
              </w:rPr>
            </w:pP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91"/>
                <w:rFonts w:hint="default"/>
                <w:sz w:val="18"/>
                <w:szCs w:val="18"/>
                <w:lang w:bidi="ar"/>
              </w:rPr>
              <w:t>网点满意度</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Style w:val="font91"/>
                <w:rFonts w:hint="default"/>
                <w:sz w:val="18"/>
                <w:szCs w:val="18"/>
                <w:lang w:bidi="ar"/>
              </w:rPr>
              <w:t>≥90%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网点较为满意，但满意度调查较为简单</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2.5</w:t>
            </w:r>
          </w:p>
        </w:tc>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b/>
                <w:bCs/>
                <w:color w:val="000000"/>
                <w:sz w:val="18"/>
                <w:szCs w:val="18"/>
              </w:rPr>
            </w:pPr>
          </w:p>
        </w:tc>
        <w:tc>
          <w:tcPr>
            <w:tcW w:w="159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left"/>
              <w:rPr>
                <w:rFonts w:ascii="宋体" w:hAnsi="宋体" w:cs="宋体"/>
                <w:color w:val="000000"/>
                <w:sz w:val="18"/>
                <w:szCs w:val="18"/>
              </w:rPr>
            </w:pPr>
          </w:p>
        </w:tc>
      </w:tr>
      <w:tr w:rsidR="00B10186" w:rsidTr="00E12DE8">
        <w:trPr>
          <w:trHeight w:val="48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三、</w:t>
            </w:r>
            <w:r>
              <w:rPr>
                <w:rStyle w:val="font21"/>
                <w:rFonts w:hint="default"/>
                <w:lang w:bidi="ar"/>
              </w:rPr>
              <w:t>预算管理情况（20分）</w:t>
            </w:r>
          </w:p>
        </w:tc>
      </w:tr>
      <w:tr w:rsidR="00B10186" w:rsidTr="00E12DE8">
        <w:trPr>
          <w:trHeight w:val="480"/>
          <w:jc w:val="center"/>
        </w:trPr>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一级指标</w:t>
            </w: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二级指标</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三级指标</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指标值</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完成值</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分值</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得分</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指标解释</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评分标准</w:t>
            </w:r>
          </w:p>
        </w:tc>
      </w:tr>
      <w:tr w:rsidR="00B10186" w:rsidTr="00E12DE8">
        <w:trPr>
          <w:trHeight w:val="2940"/>
          <w:jc w:val="center"/>
        </w:trPr>
        <w:tc>
          <w:tcPr>
            <w:tcW w:w="39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预算管理情况（20分）</w:t>
            </w:r>
          </w:p>
        </w:tc>
        <w:tc>
          <w:tcPr>
            <w:tcW w:w="3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财务管理（4分）</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财务管理制度健全性</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建立预算资金管理办法、绩效跟踪管理办法、资产管理办法等各项制度等；部门内部财务管理制度完整、合规；会计核算制度完整、合规。</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建立了预算资金管理办法、绩效跟踪管理办法、资产管理办法等各项制度等；部门内部财务管理制度完整、合规；会计核算制度完整、合规。</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2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1.0 </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财务管理制度健全性:</w:t>
            </w:r>
            <w:r>
              <w:rPr>
                <w:rStyle w:val="font71"/>
                <w:rFonts w:hint="default"/>
                <w:lang w:bidi="ar"/>
              </w:rPr>
              <w:t>部门（单位）为加强财务管理、规范财务行为而制定的管理制度。</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①预算资金管理办法、绩效跟踪管理办法、资产管理办法等各项制度是否健全；</w:t>
            </w:r>
            <w:r>
              <w:rPr>
                <w:rFonts w:ascii="宋体" w:hAnsi="宋体" w:cs="宋体" w:hint="eastAsia"/>
                <w:color w:val="000000"/>
                <w:kern w:val="0"/>
                <w:sz w:val="18"/>
                <w:szCs w:val="18"/>
                <w:lang w:bidi="ar"/>
              </w:rPr>
              <w:br/>
              <w:t>②部门内部财务管理制度是否完整、合规；</w:t>
            </w:r>
            <w:r>
              <w:rPr>
                <w:rFonts w:ascii="宋体" w:hAnsi="宋体" w:cs="宋体" w:hint="eastAsia"/>
                <w:color w:val="000000"/>
                <w:kern w:val="0"/>
                <w:sz w:val="18"/>
                <w:szCs w:val="18"/>
                <w:lang w:bidi="ar"/>
              </w:rPr>
              <w:br/>
              <w:t>③会计核算制度是否完整、合规。</w:t>
            </w:r>
            <w:r>
              <w:rPr>
                <w:rFonts w:ascii="宋体" w:hAnsi="宋体" w:cs="宋体" w:hint="eastAsia"/>
                <w:color w:val="000000"/>
                <w:kern w:val="0"/>
                <w:sz w:val="18"/>
                <w:szCs w:val="18"/>
                <w:lang w:bidi="ar"/>
              </w:rPr>
              <w:br/>
              <w:t>每有一项不合格扣0.5分，扣完为止。</w:t>
            </w:r>
          </w:p>
        </w:tc>
      </w:tr>
      <w:tr w:rsidR="00B10186" w:rsidTr="00E12DE8">
        <w:trPr>
          <w:trHeight w:val="254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428" w:type="pct"/>
            <w:tcBorders>
              <w:top w:val="single" w:sz="4" w:space="0" w:color="000000"/>
              <w:left w:val="single" w:sz="4" w:space="0" w:color="000000"/>
              <w:bottom w:val="single" w:sz="4" w:space="0" w:color="auto"/>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资金使用合规性和安全性</w:t>
            </w:r>
          </w:p>
        </w:tc>
        <w:tc>
          <w:tcPr>
            <w:tcW w:w="357" w:type="pct"/>
            <w:tcBorders>
              <w:top w:val="single" w:sz="4" w:space="0" w:color="000000"/>
              <w:left w:val="single" w:sz="4" w:space="0" w:color="000000"/>
              <w:bottom w:val="single" w:sz="4" w:space="0" w:color="auto"/>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资金使用规范、审批程序完整合规、符合预算批复用途，无截留挤占挪用情况，政府采购程序合规。</w:t>
            </w:r>
          </w:p>
        </w:tc>
        <w:tc>
          <w:tcPr>
            <w:tcW w:w="526" w:type="pct"/>
            <w:tcBorders>
              <w:top w:val="single" w:sz="4" w:space="0" w:color="000000"/>
              <w:left w:val="single" w:sz="4" w:space="0" w:color="000000"/>
              <w:bottom w:val="single" w:sz="4" w:space="0" w:color="auto"/>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资金使用规范、审批程序完整合规、符合预算批复用途，无截留挤占挪用情况，政府采购程序合规。但个别项目执行方式与项目方案不够匹配。</w:t>
            </w:r>
          </w:p>
        </w:tc>
        <w:tc>
          <w:tcPr>
            <w:tcW w:w="237" w:type="pct"/>
            <w:tcBorders>
              <w:top w:val="single" w:sz="4" w:space="0" w:color="000000"/>
              <w:left w:val="single" w:sz="4" w:space="0" w:color="000000"/>
              <w:bottom w:val="single" w:sz="4" w:space="0" w:color="auto"/>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228" w:type="pct"/>
            <w:tcBorders>
              <w:top w:val="single" w:sz="4" w:space="0" w:color="000000"/>
              <w:left w:val="single" w:sz="4" w:space="0" w:color="000000"/>
              <w:bottom w:val="single" w:sz="4" w:space="0" w:color="auto"/>
              <w:right w:val="single" w:sz="4" w:space="0" w:color="000000"/>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 </w:t>
            </w:r>
          </w:p>
        </w:tc>
        <w:tc>
          <w:tcPr>
            <w:tcW w:w="849" w:type="pct"/>
            <w:tcBorders>
              <w:top w:val="single" w:sz="4" w:space="0" w:color="000000"/>
              <w:left w:val="single" w:sz="4" w:space="0" w:color="000000"/>
              <w:bottom w:val="single" w:sz="4" w:space="0" w:color="auto"/>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资金使用合规性和安全性:</w:t>
            </w:r>
            <w:r>
              <w:rPr>
                <w:rStyle w:val="font71"/>
                <w:rFonts w:hint="default"/>
                <w:lang w:bidi="ar"/>
              </w:rPr>
              <w:t>部门（单位）使用预算资金是否符合相关的预算财务管理制度的规定，是否符合相关规定的开支范围，用以反映考核部门（单位）预算资金的规范运行和安全运行情况。</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①是否符合国家财经法规和财务管理制度规定以及有关专项资金管理办法的规定；</w:t>
            </w:r>
            <w:r>
              <w:rPr>
                <w:rFonts w:ascii="宋体" w:hAnsi="宋体" w:cs="宋体" w:hint="eastAsia"/>
                <w:color w:val="000000"/>
                <w:kern w:val="0"/>
                <w:sz w:val="18"/>
                <w:szCs w:val="18"/>
                <w:lang w:bidi="ar"/>
              </w:rPr>
              <w:br/>
              <w:t>②资金的拨付是否有完整的审批程序和手续；</w:t>
            </w:r>
            <w:r>
              <w:rPr>
                <w:rFonts w:ascii="宋体" w:hAnsi="宋体" w:cs="宋体" w:hint="eastAsia"/>
                <w:color w:val="000000"/>
                <w:kern w:val="0"/>
                <w:sz w:val="18"/>
                <w:szCs w:val="18"/>
                <w:lang w:bidi="ar"/>
              </w:rPr>
              <w:br/>
              <w:t>③项目的重大开支是否经过评估论证；</w:t>
            </w:r>
            <w:r>
              <w:rPr>
                <w:rFonts w:ascii="宋体" w:hAnsi="宋体" w:cs="宋体" w:hint="eastAsia"/>
                <w:color w:val="000000"/>
                <w:kern w:val="0"/>
                <w:sz w:val="18"/>
                <w:szCs w:val="18"/>
                <w:lang w:bidi="ar"/>
              </w:rPr>
              <w:br/>
              <w:t>④是否符合部门预算批复的用途；</w:t>
            </w:r>
            <w:r>
              <w:rPr>
                <w:rFonts w:ascii="宋体" w:hAnsi="宋体" w:cs="宋体" w:hint="eastAsia"/>
                <w:color w:val="000000"/>
                <w:kern w:val="0"/>
                <w:sz w:val="18"/>
                <w:szCs w:val="18"/>
                <w:lang w:bidi="ar"/>
              </w:rPr>
              <w:br/>
              <w:t>⑤是否存在截留、挤占、挪用情况；</w:t>
            </w:r>
            <w:r>
              <w:rPr>
                <w:rFonts w:ascii="宋体" w:hAnsi="宋体" w:cs="宋体" w:hint="eastAsia"/>
                <w:color w:val="000000"/>
                <w:kern w:val="0"/>
                <w:sz w:val="18"/>
                <w:szCs w:val="18"/>
                <w:lang w:bidi="ar"/>
              </w:rPr>
              <w:br/>
              <w:t>⑥资金使用是否符合政府采购的程序和流程；</w:t>
            </w:r>
            <w:r>
              <w:rPr>
                <w:rFonts w:ascii="宋体" w:hAnsi="宋体" w:cs="宋体" w:hint="eastAsia"/>
                <w:color w:val="000000"/>
                <w:kern w:val="0"/>
                <w:sz w:val="18"/>
                <w:szCs w:val="18"/>
                <w:lang w:bidi="ar"/>
              </w:rPr>
              <w:br/>
              <w:t>⑦资金使用是否符合公务卡结算相关制度和规定。</w:t>
            </w:r>
            <w:r>
              <w:rPr>
                <w:rFonts w:ascii="宋体" w:hAnsi="宋体" w:cs="宋体" w:hint="eastAsia"/>
                <w:color w:val="000000"/>
                <w:kern w:val="0"/>
                <w:sz w:val="18"/>
                <w:szCs w:val="18"/>
                <w:lang w:bidi="ar"/>
              </w:rPr>
              <w:br/>
              <w:t>每有一项不合格扣0.5分，扣完为止。</w:t>
            </w:r>
          </w:p>
        </w:tc>
      </w:tr>
      <w:tr w:rsidR="00B10186" w:rsidTr="00E12DE8">
        <w:trPr>
          <w:trHeight w:val="430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B10186" w:rsidRDefault="00B10186" w:rsidP="00E12DE8">
            <w:pPr>
              <w:jc w:val="center"/>
              <w:rPr>
                <w:rFonts w:ascii="宋体" w:hAnsi="宋体" w:cs="宋体"/>
                <w:color w:val="000000"/>
                <w:sz w:val="20"/>
                <w:szCs w:val="20"/>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会计基础信息完善性</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会计基础信息真实、完成、准确。</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中心基础数据和会计信息较为完善真实准确，全面、客观如实反映了发生的各项经济业务。通过抽查2022年度中心会计凭证账簿，被抽查经济业务原始凭证、记账凭证基础数据信息核对一致，数据真实准确，各类票据真</w:t>
            </w:r>
            <w:r>
              <w:rPr>
                <w:rFonts w:ascii="宋体" w:hAnsi="宋体" w:cs="宋体" w:hint="eastAsia"/>
                <w:color w:val="000000"/>
                <w:kern w:val="0"/>
                <w:sz w:val="18"/>
                <w:szCs w:val="18"/>
                <w:lang w:bidi="ar"/>
              </w:rPr>
              <w:lastRenderedPageBreak/>
              <w:t>实、完整，报销审批手续完备。</w:t>
            </w:r>
          </w:p>
        </w:tc>
        <w:tc>
          <w:tcPr>
            <w:tcW w:w="2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1</w:t>
            </w:r>
          </w:p>
        </w:tc>
        <w:tc>
          <w:tcPr>
            <w:tcW w:w="2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1.0 </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会计基础信息完善性:</w:t>
            </w:r>
            <w:r>
              <w:rPr>
                <w:rStyle w:val="font71"/>
                <w:rFonts w:hint="default"/>
                <w:lang w:bidi="ar"/>
              </w:rPr>
              <w:t>部门（单位）会计基础信息情况。</w:t>
            </w:r>
          </w:p>
        </w:tc>
        <w:tc>
          <w:tcPr>
            <w:tcW w:w="1594" w:type="pct"/>
            <w:tcBorders>
              <w:top w:val="single" w:sz="4" w:space="0" w:color="000000"/>
              <w:left w:val="single" w:sz="4" w:space="0" w:color="auto"/>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①基础数据信息和会计信息资料是否真实；</w:t>
            </w:r>
            <w:r>
              <w:rPr>
                <w:rFonts w:ascii="宋体" w:hAnsi="宋体" w:cs="宋体" w:hint="eastAsia"/>
                <w:color w:val="000000"/>
                <w:kern w:val="0"/>
                <w:sz w:val="18"/>
                <w:szCs w:val="18"/>
                <w:lang w:bidi="ar"/>
              </w:rPr>
              <w:br/>
              <w:t>②基础数据信息和会计信息资料是否完整；</w:t>
            </w:r>
            <w:r>
              <w:rPr>
                <w:rFonts w:ascii="宋体" w:hAnsi="宋体" w:cs="宋体" w:hint="eastAsia"/>
                <w:color w:val="000000"/>
                <w:kern w:val="0"/>
                <w:sz w:val="18"/>
                <w:szCs w:val="18"/>
                <w:lang w:bidi="ar"/>
              </w:rPr>
              <w:br/>
              <w:t>③基础数据信息和会计信息资料是否准确。</w:t>
            </w:r>
            <w:r>
              <w:rPr>
                <w:rFonts w:ascii="宋体" w:hAnsi="宋体" w:cs="宋体" w:hint="eastAsia"/>
                <w:color w:val="000000"/>
                <w:kern w:val="0"/>
                <w:sz w:val="18"/>
                <w:szCs w:val="18"/>
                <w:lang w:bidi="ar"/>
              </w:rPr>
              <w:br/>
              <w:t>每有一项不合格扣0.5分，扣完为止。</w:t>
            </w:r>
          </w:p>
        </w:tc>
      </w:tr>
      <w:tr w:rsidR="00B10186" w:rsidTr="00E12DE8">
        <w:trPr>
          <w:trHeight w:val="4025"/>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资产管理（4分）</w:t>
            </w:r>
          </w:p>
        </w:tc>
        <w:tc>
          <w:tcPr>
            <w:tcW w:w="428" w:type="pct"/>
            <w:tcBorders>
              <w:top w:val="single" w:sz="4" w:space="0" w:color="auto"/>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资产管理规范性</w:t>
            </w:r>
          </w:p>
        </w:tc>
        <w:tc>
          <w:tcPr>
            <w:tcW w:w="357" w:type="pct"/>
            <w:tcBorders>
              <w:top w:val="single" w:sz="4" w:space="0" w:color="auto"/>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资产管理规范、资产安全完整、资产使用及处置合规</w:t>
            </w:r>
          </w:p>
        </w:tc>
        <w:tc>
          <w:tcPr>
            <w:tcW w:w="526" w:type="pct"/>
            <w:tcBorders>
              <w:top w:val="single" w:sz="4" w:space="0" w:color="auto"/>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2022年未发生资产对外投资、处置，管理不当造成资产损失的情况，不存在超标配置资产的问题，资产使用较为规范，但截至评价日尚未完成2022年度资产盘点。</w:t>
            </w:r>
          </w:p>
        </w:tc>
        <w:tc>
          <w:tcPr>
            <w:tcW w:w="237" w:type="pct"/>
            <w:tcBorders>
              <w:top w:val="single" w:sz="4" w:space="0" w:color="auto"/>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228" w:type="pct"/>
            <w:tcBorders>
              <w:top w:val="single" w:sz="4" w:space="0" w:color="auto"/>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3.2 </w:t>
            </w:r>
          </w:p>
        </w:tc>
        <w:tc>
          <w:tcPr>
            <w:tcW w:w="849" w:type="pct"/>
            <w:tcBorders>
              <w:top w:val="single" w:sz="4" w:space="0" w:color="auto"/>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资产管理规范性:</w:t>
            </w:r>
            <w:r>
              <w:rPr>
                <w:rStyle w:val="font71"/>
                <w:rFonts w:hint="default"/>
                <w:lang w:bidi="ar"/>
              </w:rPr>
              <w:t>部门（单位）的资产是否保持安全完整，资产配置是否合理，资产使用和资产处理是否规范，用以反映和考核部门（单位）资产管理的整体水平。</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B10186" w:rsidTr="00E12DE8">
        <w:trPr>
          <w:trHeight w:val="304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绩效管理（4分）</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绩效管理情况</w:t>
            </w:r>
          </w:p>
        </w:tc>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按照北京市全面贯彻预算绩效管理的要求开展预算绩效管理</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1.2022年度所有项目纳入预算评审、事前评估；</w:t>
            </w:r>
            <w:r>
              <w:rPr>
                <w:rFonts w:ascii="宋体" w:hAnsi="宋体" w:cs="宋体" w:hint="eastAsia"/>
                <w:color w:val="000000"/>
                <w:kern w:val="0"/>
                <w:sz w:val="18"/>
                <w:szCs w:val="18"/>
                <w:lang w:bidi="ar"/>
              </w:rPr>
              <w:br/>
              <w:t>2.按照要求开展部门自评工作；</w:t>
            </w:r>
            <w:r>
              <w:rPr>
                <w:rFonts w:ascii="宋体" w:hAnsi="宋体" w:cs="宋体" w:hint="eastAsia"/>
                <w:color w:val="000000"/>
                <w:kern w:val="0"/>
                <w:sz w:val="18"/>
                <w:szCs w:val="18"/>
                <w:lang w:bidi="ar"/>
              </w:rPr>
              <w:br/>
              <w:t>3.选取系统建设维护费项目进行成本绩效分析工作</w:t>
            </w:r>
            <w:r>
              <w:rPr>
                <w:rFonts w:ascii="宋体" w:hAnsi="宋体" w:cs="宋体" w:hint="eastAsia"/>
                <w:color w:val="000000"/>
                <w:kern w:val="0"/>
                <w:sz w:val="18"/>
                <w:szCs w:val="18"/>
                <w:lang w:bidi="ar"/>
              </w:rPr>
              <w:br/>
              <w:t>4.对预算执行情况加强过程监管，开展绩效运</w:t>
            </w:r>
            <w:r>
              <w:rPr>
                <w:rFonts w:ascii="宋体" w:hAnsi="宋体" w:cs="宋体" w:hint="eastAsia"/>
                <w:color w:val="000000"/>
                <w:kern w:val="0"/>
                <w:sz w:val="18"/>
                <w:szCs w:val="18"/>
                <w:lang w:bidi="ar"/>
              </w:rPr>
              <w:lastRenderedPageBreak/>
              <w:t>行监控工作，对项目执行情况、预算支出进度进行动态监控，对项目执行中发现的问题及时纠偏。</w:t>
            </w:r>
          </w:p>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5.按照市财政要求汇总应用绩效管理情况</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4.0 </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b/>
                <w:bCs/>
                <w:color w:val="000000"/>
                <w:sz w:val="18"/>
                <w:szCs w:val="18"/>
              </w:rPr>
            </w:pPr>
            <w:r>
              <w:rPr>
                <w:rStyle w:val="font51"/>
                <w:rFonts w:hint="default"/>
                <w:lang w:bidi="ar"/>
              </w:rPr>
              <w:t>绩效管理情况:</w:t>
            </w:r>
            <w:r>
              <w:rPr>
                <w:rStyle w:val="font71"/>
                <w:rFonts w:hint="default"/>
                <w:lang w:bidi="ar"/>
              </w:rPr>
              <w:t>考核部门（单位）在绩效管理信息的汇总和应用情况。</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①部门（单位）是否及时对绩效信息进行汇总分析整理；②部门（单位）是否对绩效目标偏离情况及时进行矫正。每有一项不合格扣2分。</w:t>
            </w:r>
          </w:p>
        </w:tc>
      </w:tr>
      <w:tr w:rsidR="00B10186" w:rsidTr="00E12DE8">
        <w:trPr>
          <w:trHeight w:val="31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指标　</w:t>
            </w:r>
          </w:p>
        </w:tc>
        <w:tc>
          <w:tcPr>
            <w:tcW w:w="7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2021年</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2022年</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分值</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得分</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指标解释</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评分标准</w:t>
            </w:r>
          </w:p>
        </w:tc>
      </w:tr>
      <w:tr w:rsidR="00B10186" w:rsidTr="00E12DE8">
        <w:trPr>
          <w:trHeight w:val="2180"/>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结转结余率（4分）</w:t>
            </w:r>
          </w:p>
        </w:tc>
        <w:tc>
          <w:tcPr>
            <w:tcW w:w="7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3.13%</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3.82%</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3.7 </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结转结余率=结转结余总额/支出预算数×100%。</w:t>
            </w:r>
            <w:r>
              <w:rPr>
                <w:rFonts w:ascii="宋体" w:hAnsi="宋体" w:cs="宋体" w:hint="eastAsia"/>
                <w:color w:val="000000"/>
                <w:kern w:val="0"/>
                <w:sz w:val="18"/>
                <w:szCs w:val="18"/>
                <w:lang w:bidi="ar"/>
              </w:rPr>
              <w:br/>
              <w:t>结转结余总额：部门（单位）本年度的结转资金与结余资金之和。</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B10186" w:rsidTr="00E12DE8">
        <w:trPr>
          <w:trHeight w:val="2914"/>
          <w:jc w:val="center"/>
        </w:trPr>
        <w:tc>
          <w:tcPr>
            <w:tcW w:w="39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color w:val="000000"/>
                <w:sz w:val="20"/>
                <w:szCs w:val="20"/>
              </w:rPr>
            </w:pPr>
          </w:p>
        </w:tc>
        <w:tc>
          <w:tcPr>
            <w:tcW w:w="3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部门预决算差异率（4分）</w:t>
            </w:r>
          </w:p>
        </w:tc>
        <w:tc>
          <w:tcPr>
            <w:tcW w:w="78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Style w:val="font61"/>
                <w:rFonts w:hint="default"/>
                <w:sz w:val="18"/>
                <w:szCs w:val="18"/>
                <w:lang w:bidi="ar"/>
              </w:rPr>
              <w:t>——</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3.68%</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4.0 </w:t>
            </w:r>
          </w:p>
        </w:tc>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通过年度部门决算与年初部门预算对比，对部门的年度支出情况进行考核，衡量部门预算的约束力。</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部门预决算差异率高于市级平均差异率（28.3%）的，每高出10%（含），扣0.4分，扣完为止。</w:t>
            </w:r>
          </w:p>
        </w:tc>
      </w:tr>
      <w:tr w:rsidR="00B10186" w:rsidTr="00E12DE8">
        <w:trPr>
          <w:trHeight w:val="520"/>
          <w:jc w:val="center"/>
        </w:trPr>
        <w:tc>
          <w:tcPr>
            <w:tcW w:w="209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合计</w:t>
            </w:r>
          </w:p>
        </w:tc>
        <w:tc>
          <w:tcPr>
            <w:tcW w:w="237" w:type="pct"/>
            <w:tcBorders>
              <w:top w:val="nil"/>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100</w:t>
            </w:r>
          </w:p>
        </w:tc>
        <w:tc>
          <w:tcPr>
            <w:tcW w:w="228" w:type="pct"/>
            <w:tcBorders>
              <w:top w:val="nil"/>
              <w:left w:val="single" w:sz="4" w:space="0" w:color="000000"/>
              <w:bottom w:val="single" w:sz="4" w:space="0" w:color="000000"/>
              <w:right w:val="single" w:sz="4" w:space="0" w:color="000000"/>
            </w:tcBorders>
            <w:shd w:val="clear" w:color="auto" w:fill="auto"/>
            <w:vAlign w:val="center"/>
          </w:tcPr>
          <w:p w:rsidR="00B10186" w:rsidRDefault="00B10186" w:rsidP="00E12DE8">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93.4 </w:t>
            </w:r>
          </w:p>
        </w:tc>
        <w:tc>
          <w:tcPr>
            <w:tcW w:w="24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0186" w:rsidRDefault="00B10186" w:rsidP="00E12DE8">
            <w:pPr>
              <w:jc w:val="center"/>
              <w:rPr>
                <w:rFonts w:ascii="宋体" w:hAnsi="宋体" w:cs="宋体"/>
                <w:b/>
                <w:bCs/>
                <w:color w:val="000000"/>
                <w:sz w:val="18"/>
                <w:szCs w:val="18"/>
              </w:rPr>
            </w:pPr>
          </w:p>
        </w:tc>
      </w:tr>
    </w:tbl>
    <w:p w:rsidR="00134311" w:rsidRDefault="00134311"/>
    <w:sectPr w:rsidR="00134311" w:rsidSect="00B1018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FD3" w:rsidRDefault="00D97FD3" w:rsidP="00B10186">
      <w:r>
        <w:separator/>
      </w:r>
    </w:p>
  </w:endnote>
  <w:endnote w:type="continuationSeparator" w:id="0">
    <w:p w:rsidR="00D97FD3" w:rsidRDefault="00D97FD3" w:rsidP="00B1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仿宋_GB2312"/>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FD3" w:rsidRDefault="00D97FD3" w:rsidP="00B10186">
      <w:r>
        <w:separator/>
      </w:r>
    </w:p>
  </w:footnote>
  <w:footnote w:type="continuationSeparator" w:id="0">
    <w:p w:rsidR="00D97FD3" w:rsidRDefault="00D97FD3" w:rsidP="00B101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2DA"/>
    <w:rsid w:val="00134311"/>
    <w:rsid w:val="00B10186"/>
    <w:rsid w:val="00D37CAD"/>
    <w:rsid w:val="00D97FD3"/>
    <w:rsid w:val="00F71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4504E7-AE44-4D75-B989-5A1C49428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10186"/>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B101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B10186"/>
    <w:rPr>
      <w:sz w:val="18"/>
      <w:szCs w:val="18"/>
    </w:rPr>
  </w:style>
  <w:style w:type="paragraph" w:styleId="a5">
    <w:name w:val="footer"/>
    <w:basedOn w:val="a"/>
    <w:link w:val="Char0"/>
    <w:uiPriority w:val="99"/>
    <w:unhideWhenUsed/>
    <w:rsid w:val="00B101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B10186"/>
    <w:rPr>
      <w:sz w:val="18"/>
      <w:szCs w:val="18"/>
    </w:rPr>
  </w:style>
  <w:style w:type="character" w:customStyle="1" w:styleId="font51">
    <w:name w:val="font51"/>
    <w:basedOn w:val="a1"/>
    <w:qFormat/>
    <w:rsid w:val="00B10186"/>
    <w:rPr>
      <w:rFonts w:ascii="宋体" w:eastAsia="宋体" w:hAnsi="宋体" w:cs="宋体" w:hint="eastAsia"/>
      <w:b/>
      <w:bCs/>
      <w:color w:val="000000"/>
      <w:sz w:val="18"/>
      <w:szCs w:val="18"/>
      <w:u w:val="none"/>
    </w:rPr>
  </w:style>
  <w:style w:type="character" w:customStyle="1" w:styleId="font21">
    <w:name w:val="font21"/>
    <w:basedOn w:val="a1"/>
    <w:qFormat/>
    <w:rsid w:val="00B10186"/>
    <w:rPr>
      <w:rFonts w:ascii="宋体" w:eastAsia="宋体" w:hAnsi="宋体" w:cs="宋体" w:hint="eastAsia"/>
      <w:b/>
      <w:bCs/>
      <w:color w:val="000000"/>
      <w:sz w:val="20"/>
      <w:szCs w:val="20"/>
      <w:u w:val="none"/>
    </w:rPr>
  </w:style>
  <w:style w:type="character" w:customStyle="1" w:styleId="font71">
    <w:name w:val="font71"/>
    <w:basedOn w:val="a1"/>
    <w:qFormat/>
    <w:rsid w:val="00B10186"/>
    <w:rPr>
      <w:rFonts w:ascii="宋体" w:eastAsia="宋体" w:hAnsi="宋体" w:cs="宋体" w:hint="eastAsia"/>
      <w:color w:val="000000"/>
      <w:sz w:val="18"/>
      <w:szCs w:val="18"/>
      <w:u w:val="none"/>
    </w:rPr>
  </w:style>
  <w:style w:type="character" w:customStyle="1" w:styleId="font91">
    <w:name w:val="font91"/>
    <w:basedOn w:val="a1"/>
    <w:qFormat/>
    <w:rsid w:val="00B10186"/>
    <w:rPr>
      <w:rFonts w:ascii="宋体" w:eastAsia="宋体" w:hAnsi="宋体" w:cs="宋体" w:hint="eastAsia"/>
      <w:color w:val="000000"/>
      <w:sz w:val="21"/>
      <w:szCs w:val="21"/>
      <w:u w:val="none"/>
    </w:rPr>
  </w:style>
  <w:style w:type="character" w:customStyle="1" w:styleId="font101">
    <w:name w:val="font101"/>
    <w:basedOn w:val="a1"/>
    <w:qFormat/>
    <w:rsid w:val="00B10186"/>
    <w:rPr>
      <w:rFonts w:ascii="宋体" w:eastAsia="宋体" w:hAnsi="宋体" w:cs="宋体" w:hint="eastAsia"/>
      <w:color w:val="000000"/>
      <w:sz w:val="21"/>
      <w:szCs w:val="21"/>
      <w:u w:val="none"/>
    </w:rPr>
  </w:style>
  <w:style w:type="character" w:customStyle="1" w:styleId="font61">
    <w:name w:val="font61"/>
    <w:basedOn w:val="a1"/>
    <w:qFormat/>
    <w:rsid w:val="00B10186"/>
    <w:rPr>
      <w:rFonts w:ascii="宋体" w:eastAsia="宋体" w:hAnsi="宋体" w:cs="宋体" w:hint="eastAsia"/>
      <w:color w:val="000000"/>
      <w:sz w:val="20"/>
      <w:szCs w:val="20"/>
      <w:u w:val="none"/>
    </w:rPr>
  </w:style>
  <w:style w:type="paragraph" w:styleId="a0">
    <w:name w:val="Body Text"/>
    <w:basedOn w:val="a"/>
    <w:link w:val="Char1"/>
    <w:uiPriority w:val="99"/>
    <w:semiHidden/>
    <w:unhideWhenUsed/>
    <w:rsid w:val="00B10186"/>
    <w:pPr>
      <w:spacing w:after="120"/>
    </w:pPr>
  </w:style>
  <w:style w:type="character" w:customStyle="1" w:styleId="Char1">
    <w:name w:val="正文文本 Char"/>
    <w:basedOn w:val="a1"/>
    <w:link w:val="a0"/>
    <w:uiPriority w:val="99"/>
    <w:semiHidden/>
    <w:rsid w:val="00B1018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DF125-D9D5-4742-A416-23AD34B2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618</Words>
  <Characters>3529</Characters>
  <Application>Microsoft Office Word</Application>
  <DocSecurity>0</DocSecurity>
  <Lines>29</Lines>
  <Paragraphs>8</Paragraphs>
  <ScaleCrop>false</ScaleCrop>
  <Company>Lenovo</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2023-06-14T02:20:00Z</dcterms:created>
  <dcterms:modified xsi:type="dcterms:W3CDTF">2023-06-14T02:22:00Z</dcterms:modified>
</cp:coreProperties>
</file>